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E8" w:rsidRDefault="001450E8" w:rsidP="001450E8">
      <w:pPr>
        <w:pStyle w:val="Title"/>
      </w:pPr>
      <w:r>
        <w:t>Patterson High School – Transportation and Engineering Academy</w:t>
      </w:r>
    </w:p>
    <w:p w:rsidR="001450E8" w:rsidRDefault="001450E8" w:rsidP="001450E8">
      <w:pPr>
        <w:pStyle w:val="Title"/>
      </w:pPr>
    </w:p>
    <w:p w:rsidR="001450E8" w:rsidRPr="00E56FEA" w:rsidRDefault="001450E8" w:rsidP="001450E8">
      <w:pPr>
        <w:pStyle w:val="Title"/>
        <w:jc w:val="left"/>
        <w:rPr>
          <w:b w:val="0"/>
          <w:iCs/>
        </w:rPr>
      </w:pPr>
      <w:r w:rsidRPr="00E56FEA">
        <w:rPr>
          <w:b w:val="0"/>
          <w:iCs/>
        </w:rPr>
        <w:t>Teacher</w:t>
      </w:r>
      <w:r>
        <w:rPr>
          <w:b w:val="0"/>
          <w:iCs/>
        </w:rPr>
        <w:t>:  Ms. Nichols</w:t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  <w:t xml:space="preserve">   </w:t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  <w:t xml:space="preserve">   Lesson Date:  Friday, Dec 2</w:t>
      </w:r>
    </w:p>
    <w:p w:rsidR="001450E8" w:rsidRPr="00122819" w:rsidRDefault="001450E8" w:rsidP="001450E8">
      <w:pPr>
        <w:pStyle w:val="Title"/>
        <w:jc w:val="left"/>
        <w:rPr>
          <w:b w:val="0"/>
          <w:iCs/>
          <w:sz w:val="22"/>
          <w:szCs w:val="22"/>
        </w:rPr>
      </w:pPr>
      <w:r>
        <w:rPr>
          <w:b w:val="0"/>
          <w:iCs/>
        </w:rPr>
        <w:t>Subject:</w:t>
      </w:r>
      <w:r>
        <w:rPr>
          <w:b w:val="0"/>
          <w:iCs/>
        </w:rPr>
        <w:tab/>
        <w:t>Psychology</w:t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  <w:t xml:space="preserve">   </w:t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</w:r>
      <w:r>
        <w:rPr>
          <w:b w:val="0"/>
          <w:iCs/>
        </w:rPr>
        <w:tab/>
        <w:t xml:space="preserve">   Unit Title: Lifespan</w:t>
      </w:r>
    </w:p>
    <w:p w:rsidR="001450E8" w:rsidRPr="00122819" w:rsidRDefault="001450E8" w:rsidP="001450E8">
      <w:pPr>
        <w:pStyle w:val="Title"/>
        <w:jc w:val="left"/>
        <w:rPr>
          <w:b w:val="0"/>
          <w:iCs/>
          <w:sz w:val="22"/>
          <w:szCs w:val="22"/>
        </w:rPr>
      </w:pPr>
    </w:p>
    <w:p w:rsidR="001450E8" w:rsidRDefault="001450E8" w:rsidP="001450E8">
      <w:pPr>
        <w:rPr>
          <w:rFonts w:ascii="Arial Narrow" w:hAnsi="Arial Narrow"/>
          <w:sz w:val="12"/>
        </w:rPr>
      </w:pPr>
    </w:p>
    <w:tbl>
      <w:tblPr>
        <w:tblW w:w="10908" w:type="dxa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760"/>
        <w:gridCol w:w="2430"/>
        <w:gridCol w:w="2070"/>
      </w:tblGrid>
      <w:tr w:rsidR="001450E8" w:rsidTr="001450E8">
        <w:trPr>
          <w:cantSplit/>
        </w:trPr>
        <w:tc>
          <w:tcPr>
            <w:tcW w:w="6408" w:type="dxa"/>
            <w:gridSpan w:val="2"/>
          </w:tcPr>
          <w:p w:rsidR="001450E8" w:rsidRPr="005F1839" w:rsidRDefault="001450E8" w:rsidP="001469AF">
            <w:pPr>
              <w:rPr>
                <w:rFonts w:ascii="Arial Narrow" w:hAnsi="Arial Narrow"/>
                <w:b/>
                <w:bCs/>
                <w:sz w:val="18"/>
              </w:rPr>
            </w:pPr>
            <w:r>
              <w:rPr>
                <w:rFonts w:ascii="Arial Narrow" w:hAnsi="Arial Narrow"/>
                <w:b/>
                <w:bCs/>
                <w:sz w:val="18"/>
              </w:rPr>
              <w:t xml:space="preserve">CLGs/SC Assessment Limits/Standards </w:t>
            </w:r>
            <w:r w:rsidRPr="005F183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>3.1.4 Issues surrounding the development process (nature/nurture, continuity/discontinuity, stability/instability, critical periods)</w:t>
            </w:r>
            <w:r>
              <w:rPr>
                <w:rFonts w:ascii="Arial Narrow" w:hAnsi="Arial Narrow"/>
                <w:b/>
                <w:bCs/>
                <w:sz w:val="18"/>
              </w:rPr>
              <w:t xml:space="preserve">, </w:t>
            </w:r>
            <w:r w:rsidRPr="005F183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>3.1.5 Impact of technology on aspects of the lifespan</w:t>
            </w:r>
          </w:p>
        </w:tc>
        <w:tc>
          <w:tcPr>
            <w:tcW w:w="4500" w:type="dxa"/>
            <w:gridSpan w:val="2"/>
          </w:tcPr>
          <w:p w:rsidR="001450E8" w:rsidRDefault="001450E8" w:rsidP="001469AF">
            <w:pPr>
              <w:rPr>
                <w:rFonts w:ascii="Arial Narrow" w:hAnsi="Arial Narrow"/>
                <w:bCs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8"/>
              </w:rPr>
              <w:t xml:space="preserve">Agenda: </w:t>
            </w:r>
            <w:r w:rsidRPr="00864409">
              <w:rPr>
                <w:rFonts w:ascii="Arial Narrow" w:hAnsi="Arial Narrow"/>
                <w:bCs/>
                <w:i/>
                <w:sz w:val="16"/>
                <w:szCs w:val="16"/>
              </w:rPr>
              <w:t>(What is the snapshot of my class flow?)</w:t>
            </w:r>
          </w:p>
          <w:p w:rsidR="001450E8" w:rsidRDefault="001450E8" w:rsidP="001469AF">
            <w:pPr>
              <w:rPr>
                <w:rFonts w:ascii="Arial Narrow" w:hAnsi="Arial Narrow"/>
                <w:b/>
                <w:bCs/>
                <w:sz w:val="18"/>
              </w:rPr>
            </w:pPr>
          </w:p>
        </w:tc>
      </w:tr>
      <w:tr w:rsidR="001450E8" w:rsidTr="001450E8">
        <w:trPr>
          <w:cantSplit/>
        </w:trPr>
        <w:tc>
          <w:tcPr>
            <w:tcW w:w="10908" w:type="dxa"/>
            <w:gridSpan w:val="4"/>
            <w:tcBorders>
              <w:bottom w:val="single" w:sz="4" w:space="0" w:color="auto"/>
            </w:tcBorders>
          </w:tcPr>
          <w:p w:rsidR="001450E8" w:rsidRDefault="001450E8" w:rsidP="001469AF">
            <w:pPr>
              <w:rPr>
                <w:rFonts w:ascii="Arial Narrow" w:hAnsi="Arial Narrow"/>
                <w:bCs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8"/>
              </w:rPr>
              <w:t xml:space="preserve">Lesson Objective: </w:t>
            </w:r>
            <w:r w:rsidRPr="00864409">
              <w:rPr>
                <w:rFonts w:ascii="Arial Narrow" w:hAnsi="Arial Narrow"/>
                <w:bCs/>
                <w:i/>
                <w:sz w:val="16"/>
                <w:szCs w:val="16"/>
              </w:rPr>
              <w:t>(What will my students KNOW by the end of the lesson?  What will they DO to learn it?)</w:t>
            </w:r>
          </w:p>
          <w:p w:rsidR="001450E8" w:rsidRDefault="001450E8" w:rsidP="001469AF">
            <w:r>
              <w:t xml:space="preserve">Psychology scholars will describe adjustment to death and analyze ethical issues related to death and dying by </w:t>
            </w:r>
            <w:r>
              <w:rPr>
                <w:i/>
              </w:rPr>
              <w:t>completing exam review, participating in guided notes + completing a graphic organizer,</w:t>
            </w:r>
            <w:r w:rsidRPr="00471602">
              <w:rPr>
                <w:i/>
              </w:rPr>
              <w:t xml:space="preserve"> </w:t>
            </w:r>
            <w:r>
              <w:rPr>
                <w:i/>
              </w:rPr>
              <w:t>participating in a guided discussion,</w:t>
            </w:r>
            <w:r w:rsidRPr="00471602">
              <w:rPr>
                <w:i/>
              </w:rPr>
              <w:t xml:space="preserve"> and taking and grading a daily assessment.</w:t>
            </w:r>
          </w:p>
          <w:p w:rsidR="001450E8" w:rsidRPr="005F1839" w:rsidRDefault="001450E8" w:rsidP="001450E8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 w:rsidRPr="005F1839">
              <w:rPr>
                <w:sz w:val="16"/>
                <w:szCs w:val="16"/>
              </w:rPr>
              <w:t>Thanatology</w:t>
            </w:r>
            <w:proofErr w:type="spellEnd"/>
            <w:r w:rsidRPr="005F1839">
              <w:rPr>
                <w:sz w:val="16"/>
                <w:szCs w:val="16"/>
              </w:rPr>
              <w:t xml:space="preserve"> is the study of dying and death. </w:t>
            </w:r>
          </w:p>
          <w:p w:rsidR="001450E8" w:rsidRPr="005F1839" w:rsidRDefault="001450E8" w:rsidP="001450E8">
            <w:pPr>
              <w:pStyle w:val="ListParagraph"/>
              <w:numPr>
                <w:ilvl w:val="0"/>
                <w:numId w:val="2"/>
              </w:numPr>
              <w:contextualSpacing/>
              <w:rPr>
                <w:i/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 xml:space="preserve">Elizabeth </w:t>
            </w:r>
            <w:proofErr w:type="spellStart"/>
            <w:r w:rsidRPr="005F1839">
              <w:rPr>
                <w:sz w:val="16"/>
                <w:szCs w:val="16"/>
              </w:rPr>
              <w:t>Kübler</w:t>
            </w:r>
            <w:proofErr w:type="spellEnd"/>
            <w:r w:rsidRPr="005F1839">
              <w:rPr>
                <w:sz w:val="16"/>
                <w:szCs w:val="16"/>
              </w:rPr>
              <w:t xml:space="preserve">-Ross identified 5 stages of psychological adjustment to death: denial, anger, bargaining, depression, and acceptance. </w:t>
            </w:r>
          </w:p>
          <w:p w:rsidR="001450E8" w:rsidRPr="005F1839" w:rsidRDefault="001450E8" w:rsidP="001469AF">
            <w:pPr>
              <w:pStyle w:val="ListParagraph"/>
              <w:contextualSpacing/>
              <w:rPr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 xml:space="preserve">-denial: “No, it can’t be happening to me” or “I’ll get another opinion.” Sometimes refuse treatment, insist that the doctor is wrong, continue their live as usual. </w:t>
            </w:r>
          </w:p>
          <w:p w:rsidR="001450E8" w:rsidRPr="005F1839" w:rsidRDefault="001450E8" w:rsidP="001469AF">
            <w:pPr>
              <w:pStyle w:val="ListParagraph"/>
              <w:contextualSpacing/>
              <w:rPr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>-anger: “Why me?;” can alienate themselves from others, no one can relieve their anger</w:t>
            </w:r>
          </w:p>
          <w:p w:rsidR="001450E8" w:rsidRPr="005F1839" w:rsidRDefault="001450E8" w:rsidP="001469AF">
            <w:pPr>
              <w:pStyle w:val="ListParagraph"/>
              <w:contextualSpacing/>
              <w:rPr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>-bargaining: attempt to bargain with fate; Ex: asking God/religious deity for more time in exchange for good behavior, promise a change of ways, bargain with the doctor</w:t>
            </w:r>
          </w:p>
          <w:p w:rsidR="001450E8" w:rsidRPr="005F1839" w:rsidRDefault="001450E8" w:rsidP="001469AF">
            <w:pPr>
              <w:pStyle w:val="ListParagraph"/>
              <w:contextualSpacing/>
              <w:rPr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 xml:space="preserve">-depression: people are aware of their losses (body tissue, job, </w:t>
            </w:r>
            <w:proofErr w:type="gramStart"/>
            <w:r w:rsidRPr="005F1839">
              <w:rPr>
                <w:sz w:val="16"/>
                <w:szCs w:val="16"/>
              </w:rPr>
              <w:t>life</w:t>
            </w:r>
            <w:proofErr w:type="gramEnd"/>
            <w:r w:rsidRPr="005F1839">
              <w:rPr>
                <w:sz w:val="16"/>
                <w:szCs w:val="16"/>
              </w:rPr>
              <w:t xml:space="preserve"> savings) and the loss that is coming (losing everybody and everything). </w:t>
            </w:r>
          </w:p>
          <w:p w:rsidR="001450E8" w:rsidRPr="005F1839" w:rsidRDefault="001450E8" w:rsidP="001469AF">
            <w:pPr>
              <w:pStyle w:val="ListParagraph"/>
              <w:contextualSpacing/>
              <w:rPr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>-acceptance: sense of calm, become intentionally detached to make death easier</w:t>
            </w:r>
          </w:p>
          <w:p w:rsidR="001450E8" w:rsidRPr="005F1839" w:rsidRDefault="001450E8" w:rsidP="001450E8">
            <w:pPr>
              <w:pStyle w:val="ListParagraph"/>
              <w:numPr>
                <w:ilvl w:val="0"/>
                <w:numId w:val="2"/>
              </w:numPr>
              <w:pBdr>
                <w:bottom w:val="single" w:sz="12" w:space="1" w:color="auto"/>
              </w:pBdr>
              <w:contextualSpacing/>
              <w:rPr>
                <w:i/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>A hospice is a special place where terminally ill people go to die; it is designed to make the patient’s surroundings pleasant and comfortable.</w:t>
            </w:r>
          </w:p>
          <w:p w:rsidR="001450E8" w:rsidRPr="005F1839" w:rsidRDefault="001450E8" w:rsidP="001450E8">
            <w:pPr>
              <w:pStyle w:val="ListParagraph"/>
              <w:numPr>
                <w:ilvl w:val="0"/>
                <w:numId w:val="2"/>
              </w:numPr>
              <w:pBdr>
                <w:bottom w:val="single" w:sz="12" w:space="1" w:color="auto"/>
              </w:pBdr>
              <w:contextualSpacing/>
              <w:rPr>
                <w:i/>
                <w:sz w:val="16"/>
                <w:szCs w:val="16"/>
              </w:rPr>
            </w:pPr>
            <w:r w:rsidRPr="005F1839">
              <w:rPr>
                <w:sz w:val="16"/>
                <w:szCs w:val="16"/>
              </w:rPr>
              <w:t>Euthanasia is allowing a terminally ill patient to die naturally without life support, or putting to death a person who suffers from an incurable disease</w:t>
            </w:r>
          </w:p>
          <w:p w:rsidR="001450E8" w:rsidRPr="00BD2B33" w:rsidRDefault="001450E8" w:rsidP="001469AF">
            <w:pPr>
              <w:rPr>
                <w:rFonts w:ascii="Arial Narrow" w:hAnsi="Arial Narrow"/>
                <w:bCs/>
                <w:i/>
                <w:sz w:val="18"/>
              </w:rPr>
            </w:pPr>
          </w:p>
        </w:tc>
      </w:tr>
      <w:tr w:rsidR="001450E8" w:rsidTr="001450E8">
        <w:tc>
          <w:tcPr>
            <w:tcW w:w="648" w:type="dxa"/>
            <w:shd w:val="clear" w:color="auto" w:fill="000000"/>
          </w:tcPr>
          <w:p w:rsidR="001450E8" w:rsidRDefault="001450E8" w:rsidP="001469AF">
            <w:pPr>
              <w:jc w:val="center"/>
              <w:rPr>
                <w:rFonts w:ascii="Arial Narrow" w:hAnsi="Arial Narrow"/>
                <w:color w:val="FFFFFF"/>
                <w:sz w:val="20"/>
              </w:rPr>
            </w:pPr>
            <w:r>
              <w:rPr>
                <w:rFonts w:ascii="Arial Narrow" w:hAnsi="Arial Narrow"/>
                <w:color w:val="FFFFFF"/>
                <w:sz w:val="20"/>
              </w:rPr>
              <w:t>TIME</w:t>
            </w:r>
          </w:p>
        </w:tc>
        <w:tc>
          <w:tcPr>
            <w:tcW w:w="8190" w:type="dxa"/>
            <w:gridSpan w:val="2"/>
            <w:shd w:val="clear" w:color="auto" w:fill="000000"/>
          </w:tcPr>
          <w:p w:rsidR="001450E8" w:rsidRDefault="001450E8" w:rsidP="001469AF">
            <w:pPr>
              <w:jc w:val="center"/>
              <w:rPr>
                <w:rFonts w:ascii="Arial Narrow" w:hAnsi="Arial Narrow"/>
                <w:color w:val="FFFFFF"/>
                <w:sz w:val="20"/>
              </w:rPr>
            </w:pPr>
            <w:r>
              <w:rPr>
                <w:rFonts w:ascii="Arial Narrow" w:hAnsi="Arial Narrow"/>
                <w:color w:val="FFFFFF"/>
                <w:sz w:val="20"/>
              </w:rPr>
              <w:t>INSTRUCTIONAL SEQUENCE</w:t>
            </w:r>
          </w:p>
        </w:tc>
        <w:tc>
          <w:tcPr>
            <w:tcW w:w="2070" w:type="dxa"/>
            <w:shd w:val="clear" w:color="auto" w:fill="000000"/>
          </w:tcPr>
          <w:p w:rsidR="001450E8" w:rsidRDefault="001450E8" w:rsidP="001469AF">
            <w:pPr>
              <w:jc w:val="center"/>
              <w:rPr>
                <w:rFonts w:ascii="Arial Narrow" w:hAnsi="Arial Narrow"/>
                <w:color w:val="FFFFFF"/>
                <w:sz w:val="20"/>
              </w:rPr>
            </w:pPr>
            <w:r>
              <w:rPr>
                <w:rFonts w:ascii="Arial Narrow" w:hAnsi="Arial Narrow"/>
                <w:color w:val="FFFFFF"/>
                <w:sz w:val="20"/>
              </w:rPr>
              <w:t>ACTIVITIES CHECKLIST</w:t>
            </w:r>
          </w:p>
        </w:tc>
      </w:tr>
      <w:tr w:rsidR="001450E8" w:rsidTr="001450E8"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5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Pr="00864409" w:rsidRDefault="001450E8" w:rsidP="001469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C16BE">
              <w:rPr>
                <w:rFonts w:ascii="Arial Narrow" w:hAnsi="Arial Narrow"/>
                <w:b/>
                <w:sz w:val="18"/>
              </w:rPr>
              <w:t>Get started/Drill/Do Now:</w:t>
            </w:r>
            <w:r>
              <w:rPr>
                <w:rFonts w:ascii="Arial Narrow" w:hAnsi="Arial Narrow"/>
                <w:sz w:val="18"/>
              </w:rPr>
              <w:t xml:space="preserve"> Following prompt posted on bo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rd: </w:t>
            </w:r>
          </w:p>
          <w:p w:rsidR="001450E8" w:rsidRPr="0005590B" w:rsidRDefault="001450E8" w:rsidP="001469AF">
            <w:pPr>
              <w:tabs>
                <w:tab w:val="left" w:pos="284"/>
              </w:tabs>
              <w:rPr>
                <w:rFonts w:ascii="Arial Narrow" w:hAnsi="Arial Narrow"/>
                <w:sz w:val="18"/>
              </w:rPr>
            </w:pPr>
            <w:r w:rsidRPr="00353577">
              <w:rPr>
                <w:rFonts w:ascii="Arial Narrow" w:hAnsi="Arial Narrow"/>
                <w:sz w:val="18"/>
              </w:rPr>
              <w:t xml:space="preserve">Today we are going to learn about the 5 stages of dying and death. The stages are listed below. When a person finds out they are dying, in what order do they go through these stages? Explain your reasoning. </w:t>
            </w:r>
          </w:p>
        </w:tc>
        <w:tc>
          <w:tcPr>
            <w:tcW w:w="2070" w:type="dxa"/>
          </w:tcPr>
          <w:p w:rsidR="001450E8" w:rsidRPr="001F65E6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50E8" w:rsidTr="001450E8"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12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  <w:r w:rsidRPr="00DC16BE">
              <w:rPr>
                <w:rFonts w:ascii="Arial Narrow" w:hAnsi="Arial Narrow"/>
                <w:b/>
                <w:sz w:val="18"/>
              </w:rPr>
              <w:t>Engage/Motivation:</w:t>
            </w:r>
            <w:r w:rsidRPr="00864409">
              <w:rPr>
                <w:rFonts w:ascii="Arial Narrow" w:hAnsi="Arial Narrow"/>
                <w:sz w:val="18"/>
              </w:rPr>
              <w:t xml:space="preserve"> </w:t>
            </w:r>
          </w:p>
          <w:p w:rsidR="001450E8" w:rsidRPr="005A4A4F" w:rsidRDefault="001450E8" w:rsidP="001469AF">
            <w:pPr>
              <w:rPr>
                <w:rFonts w:ascii="Arial Narrow" w:hAnsi="Arial Narrow"/>
                <w:i/>
                <w:sz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Gr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phic represent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tion, poem, or story of de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th, dying, etc. Students cre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te in their notebook, then will sh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re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nd comp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re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s spring bo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rd for discussion on our perceptions of de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th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nd dying-why do you think people feel the w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y they do about de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th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nd dying? Is </w:t>
            </w:r>
            <w:proofErr w:type="spellStart"/>
            <w:r>
              <w:rPr>
                <w:rFonts w:ascii="Arial Narrow" w:hAnsi="Arial Narrow"/>
                <w:sz w:val="18"/>
              </w:rPr>
              <w:t>is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the s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me in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ll cultures? How do we le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rn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bout de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th? Wh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t f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>ctors might influence our opinions on de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th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nd dying? When you </w:t>
            </w:r>
            <w:r w:rsidRPr="00353577">
              <w:rPr>
                <w:rFonts w:ascii="Arial Narrow" w:hAnsi="Arial Narrow"/>
                <w:sz w:val="18"/>
              </w:rPr>
              <w:t>a</w:t>
            </w:r>
            <w:r>
              <w:rPr>
                <w:rFonts w:ascii="Arial Narrow" w:hAnsi="Arial Narrow"/>
                <w:sz w:val="18"/>
              </w:rPr>
              <w:t xml:space="preserve">re dying, how do you think you will feel?  </w:t>
            </w:r>
          </w:p>
        </w:tc>
        <w:tc>
          <w:tcPr>
            <w:tcW w:w="2070" w:type="dxa"/>
          </w:tcPr>
          <w:p w:rsidR="001450E8" w:rsidRPr="001F65E6" w:rsidRDefault="001450E8" w:rsidP="001469AF">
            <w:pPr>
              <w:rPr>
                <w:rFonts w:ascii="Arial Narrow" w:hAnsi="Arial Narrow"/>
                <w:sz w:val="16"/>
                <w:szCs w:val="16"/>
              </w:rPr>
            </w:pPr>
          </w:p>
          <w:p w:rsidR="001450E8" w:rsidRPr="001F65E6" w:rsidRDefault="001450E8" w:rsidP="001469AF">
            <w:pPr>
              <w:rPr>
                <w:rFonts w:ascii="Arial Narrow" w:hAnsi="Arial Narrow"/>
                <w:sz w:val="16"/>
                <w:szCs w:val="16"/>
              </w:rPr>
            </w:pPr>
          </w:p>
          <w:p w:rsidR="001450E8" w:rsidRPr="001F65E6" w:rsidRDefault="001450E8" w:rsidP="001469AF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50E8" w:rsidTr="001450E8">
        <w:trPr>
          <w:trHeight w:val="512"/>
        </w:trPr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15-20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Pr="005F1839" w:rsidRDefault="001450E8" w:rsidP="001469AF">
            <w:pPr>
              <w:rPr>
                <w:rFonts w:ascii="Arial Narrow" w:hAnsi="Arial Narrow"/>
                <w:sz w:val="18"/>
              </w:rPr>
            </w:pPr>
            <w:r w:rsidRPr="00DC16BE">
              <w:rPr>
                <w:rFonts w:ascii="Arial Narrow" w:hAnsi="Arial Narrow"/>
                <w:b/>
                <w:sz w:val="18"/>
              </w:rPr>
              <w:t>Explore/Explain:</w:t>
            </w:r>
            <w:r>
              <w:rPr>
                <w:rFonts w:ascii="Arial Narrow" w:hAnsi="Arial Narrow"/>
                <w:sz w:val="18"/>
              </w:rPr>
              <w:t xml:space="preserve"> Instructor will provide </w:t>
            </w:r>
            <w:proofErr w:type="gramStart"/>
            <w:r>
              <w:rPr>
                <w:rFonts w:ascii="Arial Narrow" w:hAnsi="Arial Narrow"/>
                <w:sz w:val="18"/>
              </w:rPr>
              <w:t>basic  key</w:t>
            </w:r>
            <w:proofErr w:type="gramEnd"/>
            <w:r>
              <w:rPr>
                <w:rFonts w:ascii="Arial Narrow" w:hAnsi="Arial Narrow"/>
                <w:sz w:val="18"/>
              </w:rPr>
              <w:t xml:space="preserve"> points in student friendly language via PP slide; students will participate by adding in actions/thoughts and filling out the graphic organizer. </w:t>
            </w:r>
          </w:p>
        </w:tc>
        <w:tc>
          <w:tcPr>
            <w:tcW w:w="2070" w:type="dxa"/>
          </w:tcPr>
          <w:p w:rsidR="001450E8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</w:p>
        </w:tc>
      </w:tr>
      <w:tr w:rsidR="001450E8" w:rsidTr="001450E8">
        <w:trPr>
          <w:trHeight w:val="818"/>
        </w:trPr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25-35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Default="001450E8" w:rsidP="001469AF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Practice as pairs/group</w:t>
            </w:r>
          </w:p>
          <w:p w:rsidR="001450E8" w:rsidRPr="00A17F29" w:rsidRDefault="001450E8" w:rsidP="001469AF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Structured discussion: students will work in pairs to discuss each of the stages of death and dying.  </w:t>
            </w:r>
            <w:r>
              <w:rPr>
                <w:rFonts w:ascii="Arial Narrow" w:hAnsi="Arial Narrow"/>
                <w:b/>
                <w:sz w:val="18"/>
              </w:rPr>
              <w:t>(see attached sheet)</w:t>
            </w:r>
          </w:p>
          <w:p w:rsidR="001450E8" w:rsidRPr="006757FB" w:rsidRDefault="001450E8" w:rsidP="001469AF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*Discussion will follow discussion protocol practiced last week. </w:t>
            </w:r>
          </w:p>
        </w:tc>
        <w:tc>
          <w:tcPr>
            <w:tcW w:w="2070" w:type="dxa"/>
          </w:tcPr>
          <w:p w:rsidR="001450E8" w:rsidRPr="001F65E6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50E8" w:rsidTr="001450E8"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15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Pr="00864409" w:rsidRDefault="001450E8" w:rsidP="001469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64409">
              <w:rPr>
                <w:rFonts w:ascii="Arial Narrow" w:hAnsi="Arial Narrow"/>
                <w:b/>
                <w:sz w:val="18"/>
              </w:rPr>
              <w:t>Evaluate Understanding/Assessment: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r w:rsidRPr="00864409">
              <w:rPr>
                <w:rFonts w:ascii="Arial Narrow" w:hAnsi="Arial Narrow"/>
                <w:i/>
                <w:sz w:val="16"/>
                <w:szCs w:val="16"/>
              </w:rPr>
              <w:t xml:space="preserve">(How will I know if students have achieved today’s objective?) </w:t>
            </w:r>
          </w:p>
          <w:p w:rsidR="001450E8" w:rsidRPr="00D4173E" w:rsidRDefault="001450E8" w:rsidP="001469AF">
            <w:pPr>
              <w:tabs>
                <w:tab w:val="left" w:pos="284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Matching of death and dying + 2 short answer</w:t>
            </w:r>
            <w:r w:rsidRPr="00D4173E">
              <w:rPr>
                <w:rFonts w:ascii="Arial Narrow" w:hAnsi="Arial Narrow"/>
                <w:sz w:val="18"/>
              </w:rPr>
              <w:sym w:font="Wingdings" w:char="F0E0"/>
            </w:r>
            <w:r>
              <w:rPr>
                <w:rFonts w:ascii="Arial Narrow" w:hAnsi="Arial Narrow"/>
                <w:sz w:val="18"/>
              </w:rPr>
              <w:t xml:space="preserve">models rigor of Unit 2 exam. </w:t>
            </w:r>
            <w:r>
              <w:rPr>
                <w:rFonts w:ascii="Arial Narrow" w:hAnsi="Arial Narrow"/>
                <w:b/>
                <w:sz w:val="18"/>
              </w:rPr>
              <w:t>(</w:t>
            </w:r>
            <w:proofErr w:type="gramStart"/>
            <w:r>
              <w:rPr>
                <w:rFonts w:ascii="Arial Narrow" w:hAnsi="Arial Narrow"/>
                <w:b/>
                <w:sz w:val="18"/>
              </w:rPr>
              <w:t>see</w:t>
            </w:r>
            <w:proofErr w:type="gramEnd"/>
            <w:r>
              <w:rPr>
                <w:rFonts w:ascii="Arial Narrow" w:hAnsi="Arial Narrow"/>
                <w:b/>
                <w:sz w:val="18"/>
              </w:rPr>
              <w:t xml:space="preserve"> attached). </w:t>
            </w:r>
          </w:p>
          <w:p w:rsidR="001450E8" w:rsidRDefault="001450E8" w:rsidP="001469AF">
            <w:pPr>
              <w:tabs>
                <w:tab w:val="left" w:pos="284"/>
              </w:tabs>
              <w:rPr>
                <w:rFonts w:ascii="Arial Narrow" w:hAnsi="Arial Narrow"/>
                <w:sz w:val="18"/>
              </w:rPr>
            </w:pPr>
          </w:p>
        </w:tc>
        <w:tc>
          <w:tcPr>
            <w:tcW w:w="2070" w:type="dxa"/>
          </w:tcPr>
          <w:p w:rsidR="001450E8" w:rsidRPr="006757FB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50E8" w:rsidTr="001450E8"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5 </w:t>
            </w:r>
          </w:p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mins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Pr="00CE5B8E" w:rsidRDefault="001450E8" w:rsidP="001469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64409">
              <w:rPr>
                <w:rFonts w:ascii="Arial Narrow" w:hAnsi="Arial Narrow"/>
                <w:b/>
                <w:sz w:val="18"/>
              </w:rPr>
              <w:t>Closing Activities/Summary:</w:t>
            </w:r>
            <w:r>
              <w:rPr>
                <w:rFonts w:ascii="Arial Narrow" w:hAnsi="Arial Narrow"/>
                <w:sz w:val="18"/>
              </w:rPr>
              <w:t xml:space="preserve"> </w:t>
            </w:r>
          </w:p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Why does this m</w:t>
            </w:r>
            <w:r>
              <w:rPr>
                <w:rFonts w:ascii="Arial Narrow" w:hAnsi="Arial Narrow"/>
                <w:sz w:val="18"/>
              </w:rPr>
              <w:t xml:space="preserve">atter? Have your opinions changed at all as a result of this discussion? </w:t>
            </w:r>
          </w:p>
          <w:p w:rsidR="001450E8" w:rsidRPr="00D4173E" w:rsidRDefault="001450E8" w:rsidP="001469AF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070" w:type="dxa"/>
          </w:tcPr>
          <w:p w:rsidR="001450E8" w:rsidRPr="001F65E6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50E8" w:rsidTr="001450E8">
        <w:tc>
          <w:tcPr>
            <w:tcW w:w="648" w:type="dxa"/>
            <w:vAlign w:val="center"/>
          </w:tcPr>
          <w:p w:rsidR="001450E8" w:rsidRDefault="001450E8" w:rsidP="001469AF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30 </w:t>
            </w:r>
            <w:proofErr w:type="spellStart"/>
            <w:r>
              <w:rPr>
                <w:rFonts w:ascii="Arial Narrow" w:hAnsi="Arial Narrow"/>
                <w:sz w:val="18"/>
              </w:rPr>
              <w:t>secs</w:t>
            </w:r>
            <w:proofErr w:type="spellEnd"/>
          </w:p>
        </w:tc>
        <w:tc>
          <w:tcPr>
            <w:tcW w:w="8190" w:type="dxa"/>
            <w:gridSpan w:val="2"/>
          </w:tcPr>
          <w:p w:rsidR="001450E8" w:rsidRDefault="001450E8" w:rsidP="001469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9420A4">
              <w:rPr>
                <w:rFonts w:ascii="Arial Narrow" w:hAnsi="Arial Narrow"/>
                <w:b/>
                <w:sz w:val="18"/>
              </w:rPr>
              <w:t>Enrichment/Extension/</w:t>
            </w:r>
            <w:proofErr w:type="spellStart"/>
            <w:r w:rsidRPr="009420A4">
              <w:rPr>
                <w:rFonts w:ascii="Arial Narrow" w:hAnsi="Arial Narrow"/>
                <w:b/>
                <w:sz w:val="18"/>
              </w:rPr>
              <w:t>Reteaching</w:t>
            </w:r>
            <w:proofErr w:type="spellEnd"/>
            <w:r w:rsidRPr="009420A4">
              <w:rPr>
                <w:rFonts w:ascii="Arial Narrow" w:hAnsi="Arial Narrow"/>
                <w:b/>
                <w:sz w:val="18"/>
              </w:rPr>
              <w:t xml:space="preserve">/Accommodations: </w:t>
            </w:r>
          </w:p>
          <w:p w:rsidR="001450E8" w:rsidRPr="005F1839" w:rsidRDefault="001450E8" w:rsidP="001469AF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See attached IEP accommodations for J.S.; coach class offered mornings + lunches this week. </w:t>
            </w:r>
          </w:p>
        </w:tc>
        <w:tc>
          <w:tcPr>
            <w:tcW w:w="2070" w:type="dxa"/>
          </w:tcPr>
          <w:p w:rsidR="001450E8" w:rsidRPr="001F65E6" w:rsidRDefault="001450E8" w:rsidP="001450E8">
            <w:pPr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450E8" w:rsidRDefault="001450E8" w:rsidP="001450E8">
      <w:pPr>
        <w:rPr>
          <w:rFonts w:ascii="Arial Narrow" w:hAnsi="Arial Narrow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6"/>
      </w:tblGrid>
      <w:tr w:rsidR="001450E8" w:rsidTr="001469AF">
        <w:tc>
          <w:tcPr>
            <w:tcW w:w="10908" w:type="dxa"/>
          </w:tcPr>
          <w:p w:rsidR="001450E8" w:rsidRDefault="001450E8" w:rsidP="001469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9420A4">
              <w:rPr>
                <w:rFonts w:ascii="Arial Narrow" w:hAnsi="Arial Narrow"/>
                <w:b/>
                <w:sz w:val="18"/>
              </w:rPr>
              <w:t>Resources/Instructional Materials Needed:</w:t>
            </w:r>
            <w:r>
              <w:rPr>
                <w:rFonts w:ascii="Arial Narrow" w:hAnsi="Arial Narrow"/>
                <w:b/>
                <w:sz w:val="18"/>
              </w:rPr>
              <w:t xml:space="preserve"> </w:t>
            </w:r>
            <w:r w:rsidRPr="009420A4">
              <w:rPr>
                <w:rFonts w:ascii="Arial Narrow" w:hAnsi="Arial Narrow"/>
                <w:i/>
                <w:sz w:val="16"/>
                <w:szCs w:val="16"/>
              </w:rPr>
              <w:t>(What do I need in order to teach the lesson?)</w:t>
            </w:r>
          </w:p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Day’s agenda, PP slides, graphic organizers, groups of 2-3 (based on attendance/tardiness), note cards, daily assessments</w:t>
            </w:r>
          </w:p>
        </w:tc>
      </w:tr>
      <w:tr w:rsidR="001450E8" w:rsidTr="001469AF">
        <w:tc>
          <w:tcPr>
            <w:tcW w:w="10908" w:type="dxa"/>
          </w:tcPr>
          <w:p w:rsidR="001450E8" w:rsidRPr="009420A4" w:rsidRDefault="001450E8" w:rsidP="001469AF">
            <w:pPr>
              <w:rPr>
                <w:rFonts w:ascii="Arial Narrow" w:hAnsi="Arial Narrow"/>
                <w:b/>
                <w:sz w:val="18"/>
              </w:rPr>
            </w:pPr>
            <w:r w:rsidRPr="009420A4">
              <w:rPr>
                <w:rFonts w:ascii="Arial Narrow" w:hAnsi="Arial Narrow"/>
                <w:b/>
                <w:sz w:val="18"/>
              </w:rPr>
              <w:t>Notes:</w:t>
            </w:r>
          </w:p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</w:p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</w:p>
          <w:p w:rsidR="001450E8" w:rsidRDefault="001450E8" w:rsidP="001469AF">
            <w:pPr>
              <w:rPr>
                <w:rFonts w:ascii="Arial Narrow" w:hAnsi="Arial Narrow"/>
                <w:sz w:val="18"/>
              </w:rPr>
            </w:pPr>
          </w:p>
        </w:tc>
      </w:tr>
    </w:tbl>
    <w:p w:rsidR="001450E8" w:rsidRDefault="001450E8" w:rsidP="001450E8">
      <w:pPr>
        <w:rPr>
          <w:rFonts w:ascii="Arial Narrow" w:hAnsi="Arial Narrow"/>
        </w:rPr>
      </w:pPr>
    </w:p>
    <w:p w:rsidR="00006B77" w:rsidRDefault="00006B77"/>
    <w:sectPr w:rsidR="00006B77" w:rsidSect="0000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E30CC"/>
    <w:multiLevelType w:val="hybridMultilevel"/>
    <w:tmpl w:val="8312D068"/>
    <w:lvl w:ilvl="0" w:tplc="9C2EFA8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BD2AEA"/>
    <w:multiLevelType w:val="hybridMultilevel"/>
    <w:tmpl w:val="61A8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0E8"/>
    <w:rsid w:val="00006B77"/>
    <w:rsid w:val="000D0F81"/>
    <w:rsid w:val="001450E8"/>
    <w:rsid w:val="00487631"/>
    <w:rsid w:val="007B2ABE"/>
    <w:rsid w:val="008B339A"/>
    <w:rsid w:val="00901B95"/>
    <w:rsid w:val="00AB3D34"/>
    <w:rsid w:val="00B241A6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450E8"/>
    <w:pPr>
      <w:jc w:val="center"/>
    </w:pPr>
    <w:rPr>
      <w:rFonts w:ascii="Arial Narrow" w:hAnsi="Arial Narrow"/>
      <w:b/>
      <w:bCs/>
    </w:rPr>
  </w:style>
  <w:style w:type="character" w:customStyle="1" w:styleId="TitleChar">
    <w:name w:val="Title Char"/>
    <w:basedOn w:val="DefaultParagraphFont"/>
    <w:link w:val="Title"/>
    <w:rsid w:val="001450E8"/>
    <w:rPr>
      <w:rFonts w:ascii="Arial Narrow" w:eastAsia="Times New Roman" w:hAnsi="Arial Narrow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450E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Company>Lenovo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2011-11-30T00:41:00Z</dcterms:created>
  <dcterms:modified xsi:type="dcterms:W3CDTF">2011-11-30T00:41:00Z</dcterms:modified>
</cp:coreProperties>
</file>